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250 vom 1. Januar 1993</w:t>
      </w:r>
    </w:p>
    <w:p>
      <w:r>
        <w:t>Bundesgericht (BGE), 1993-01-01, FR</w:t>
      </w:r>
    </w:p>
    <w:p>
      <w:r>
        <w:rPr>
          <w:b/>
        </w:rPr>
        <w:t xml:space="preserve">Quelle: </w:t>
      </w:r>
      <w:r>
        <w:t>https://mcp.opencaselaw.ch/entscheid/bge_119 IB 250</w:t>
      </w:r>
    </w:p>
    <w:p>
      <w:r>
        <w:t>FR: BGE 119 IB 250 du 1 janvier 1993</w:t>
      </w:r>
    </w:p>
    <w:p>
      <w:r>
        <w:t>IT: BGE 119 IB 250 del 1 gennaio 1993</w:t>
      </w:r>
    </w:p>
    <w:p>
      <w:pPr>
        <w:pStyle w:val="Heading2"/>
      </w:pPr>
      <w:r>
        <w:t>Regeste</w:t>
      </w:r>
    </w:p>
    <w:p>
      <w:r>
        <w:t>Regeste Teilnahme von politischen Gruppierungen an Fernsehsendungen zu eidgenössischen Wahlen. Die Richtlinien der SRG von 1991 tragen der vom Bundesgericht im Urteil Vigilance (BGE 97 I 731 ff.) geäusserten Kritik Rechnung; sie berücksichtigen besser die Interessen der kleinsten politischen Parteien oder Bewegungen innerhalb eines einzelnen Sprachgebiets. Derartige Gruppierungen können aber jedenfalls nicht gleichviel Sendezeit beanspruchen wie die wichtigeren politischen Parteien und Gruppen und müssen auch nicht zu den gleichen Sendezeiten zugelassen werden.</w:t>
      </w:r>
    </w:p>
    <w:p>
      <w:pPr>
        <w:pStyle w:val="Heading2"/>
      </w:pPr>
      <w:r>
        <w:t>Erwägungen</w:t>
      </w:r>
    </w:p>
    <w:p>
      <w:r>
        <w:rPr>
          <w:b/>
        </w:rPr>
        <w:t>E. 3</w:t>
      </w:r>
    </w:p>
    <w:p>
      <w:r>
        <w:t>a) Sur le fond, les recourants se plaignent de l'inconstitutionnalité des conditions d'admission aux émissions électorales, posées par les directives de la SSR du 24 janvier 1991. Ils soutiennent notamment que la SSR aurait violé le devoir d'objectivité que lui impose la concession en n'accordant pas aux nouveaux partis ou mouvements un temps d'antenne aux mêmes heures que celui prévu pour les partis parlementaires, soit après le téléjournal de 19 h 30. Les trois minutes d'antenne accordées à Légital après 23 h, sans indication dans les programmes de la télévision, revenaient ainsi à priver cette association de participation aux émissions électorales. b) D'une manière générale, il n'existe pas de droit à l'antenne qui puisse être déduit des dispositions constitutionnelles ou légales prévoyant que la radio et la télévision contribuent à la libre information de l'opinion ( art. 55bis al. 2 Cst. , art. 3 et 4 LRTV , art. 4 de la concession de la SSR; voir également BEAT VONLANTHEN, Das Kommunikationsgrundrecht "Radio- und Fernsehfreiheit", thèse Fribourg 1987, p. 425; BLAISE ROSTAN, Les médias audiovisuels en droit international, in Aspects du droit des médias II, p. 263). De même, le droit à la liberté d'expression, comme le droit de communiquer des informations selon l' art. 10 CEDH , ne confèrent en principe pas le droit de bénéficier d'un temps d'antenne afin de promouvoir ses idées (GIORGIO MALINVERNI, La liberté de l'information dans la Convention européenne des droits de l'homme et dans le Pacte international relatif aux droits civils et politiques, in Aspects du droit des médias II, p. 185). Cela n'exclut pas que, très exceptionnellement, le refus d'accorder un temps d'antenne à un ou plusieurs groupes de personnes puisse soulever un problème, notamment au regard des art. 10 et 14 CEDH , si un groupe est exclu des émissions, alors que d'autres y sont admis, plus particulièrement si, en période d'élection ou de votation, un parti est privé de toute possibilité d'émission alors que d'autres partis de même importance se voient accorder un temps d'antenne ( ATF 97 I 733 ; MALINVERNI, op.cit., p. 185; ROSTAN, op.cit., p. 263; cf. aussi DANIEL TRACHSEL, Medienfreiheit als Grundlage justiziabler Leistungsforderung, in La liberté des media, au service de qui?, p. 61). c) En l'espèce, les directives de la SSR du 24 janvier 1991 tiennent compte des remarques émises par le Tribunal fédéral au sujet des critères d'admission aux émissions électorales ( ATF 97 I 735 ) et sont donc moins sévères que celles critiquées, mais pas annulées, de BGE 119 Ib 250 S. 253 1971. Elles prennent mieux en considération les intérêts des petits partis, notamment lorsque certains d'entre eux ne sont implantés que dans une seule région linguistique. Elles n'exigent plus de pouvoir faire état d'un groupe sortant aux Chambres fédérales, mais admettent qu'un seul parlementaire suffit. On ne saurait ainsi reprocher à la SSR d'avoir négligé des petits partis cantonaux, puisqu'elle leur octroie un droit de participation, s'ils présentent une liste dans leur canton et ont 7% des sièges au Grand Conseil. A cet égard, la SSR estime qu'elle a fait un effort particulier pour élargir la participation aux émissions électorales fédérales de 1991, acceptant onze partis en Suisse romande sur les vingt-quatre listes déposées. Quant aux partis et mouvements politiques ayant bénéficié des nouvelles émissions offrant un cadre plus modeste au sens du chiffre 3.2 des directives, elle relève que, contrairement à ce que soutiennent les recourants, la presse en rendait compte dans la présentation des programmes. Dans ces circonstances, la SSR n'a pas dépassé le cadre de ses pouvoirs, ni violés son devoir d'objectivité en accordant aux plus petits partis ou mouvements politiques un temps d'écoute moins grand et à des heures moins favorables qu'à celui octroyé aux formations plus importantes, déjà représentées au Parlement ou dans un législatif cantonal. Les choix opérés par la SSR résultent des autres obligations (divertissement, éducation, etc.) qu'elle doit poursuivre pendant la durée de la campagne, ainsi que du nombre de partis susceptibles d'y participer. La solution ainsi retenue par le chiffre 3.2 des directives n'est pas critiquable; elle est notamment fondée sur le principe contenu au chiffre 4.1, selon lequel les temps d'émission seront déterminés en fonction de l'importance numérique des partis. S'il est certes essentiel que l'auditeur et le téléspectateur puissent prendre connaissance de la diversité des idées, il n'est toutefois pas nécessaire de donner le même espace à toutes les idées pour que leur diversité soit convenablement reflétée (DENIS BARRELET, Droit suisse des mass media, 2e éd. 1987, n. 178, p. 72). En tant que petite formation politique représentée uniquement dans le canton de Genève, Légital n'avait donc aucun droit de revendiquer un temps d'antenne semblable aux partis politiques déjà connus. d) Beaucoup plus discutable apparaît en revanche la règle selon laquelle l'accès des plus petits partis serait limité à un seul média, radio ou télévision (ch. 4.3). Cette question peut cependant rester ouverte, dès lors qu'elle ne s'est pas posée dans le présent litige et n'a pas davantage été soulevée par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